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D71" w:rsidRDefault="004B3D71" w:rsidP="009A3A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Основные н</w:t>
      </w:r>
      <w:r w:rsidRPr="009A3AB1">
        <w:rPr>
          <w:rFonts w:ascii="Times New Roman" w:hAnsi="Times New Roman" w:cs="Times New Roman"/>
          <w:b/>
          <w:bCs/>
          <w:sz w:val="28"/>
          <w:szCs w:val="28"/>
        </w:rPr>
        <w:t>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2017 году 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Pr="009A3AB1">
        <w:rPr>
          <w:rFonts w:ascii="Times New Roman" w:hAnsi="Times New Roman" w:cs="Times New Roman"/>
          <w:b/>
          <w:bCs/>
          <w:sz w:val="28"/>
          <w:szCs w:val="28"/>
        </w:rPr>
        <w:t>отчетный 2016 г.)</w:t>
      </w:r>
    </w:p>
    <w:p w:rsidR="004B3D71" w:rsidRPr="009A3AB1" w:rsidRDefault="004B3D71" w:rsidP="009A3AB1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3D71" w:rsidRDefault="004B3D71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Федерации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>Методических рекомендаций по вопросам представления сведений о доходах, расходах, об имуществе и обязательствах имущественного характ</w:t>
      </w:r>
      <w:bookmarkStart w:id="0" w:name="_GoBack"/>
      <w:bookmarkEnd w:id="0"/>
      <w:r w:rsidRPr="001532B9">
        <w:rPr>
          <w:rFonts w:ascii="Times New Roman" w:hAnsi="Times New Roman" w:cs="Times New Roman"/>
          <w:sz w:val="28"/>
          <w:szCs w:val="28"/>
        </w:rPr>
        <w:t>ера 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>, направления их в заинтересованные государственные органы и организации, а также размещения на официальном сайте Минтруда России.</w:t>
      </w:r>
    </w:p>
    <w:p w:rsidR="004B3D71" w:rsidRDefault="004B3D71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2017 г. (за отчетный 2016 г.) подготовлены Министерством при участии Администрации Президента Российской Федерации и Генеральной прокуратуры Российской Федерации.</w:t>
      </w:r>
    </w:p>
    <w:p w:rsidR="004B3D71" w:rsidRDefault="004B3D71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Методических рекомендаций предлагаем обратить внимание на следующее.</w:t>
      </w:r>
    </w:p>
    <w:p w:rsidR="004B3D71" w:rsidRDefault="004B3D71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 году последний день срока представления сведений приходится на нерабочий день, в этой связи в пункте 10 Методических рекомендаций описан порядок представления сведений в такой ситуации.</w:t>
      </w:r>
    </w:p>
    <w:p w:rsidR="004B3D71" w:rsidRPr="004515F6" w:rsidRDefault="004B3D71" w:rsidP="002473DF">
      <w:pPr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15</w:t>
      </w:r>
      <w:r w:rsidRPr="004515F6">
        <w:rPr>
          <w:rFonts w:ascii="Times New Roman" w:hAnsi="Times New Roman" w:cs="Times New Roman"/>
          <w:sz w:val="28"/>
          <w:szCs w:val="28"/>
        </w:rPr>
        <w:t xml:space="preserve"> Методических рекомендаци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515F6">
        <w:rPr>
          <w:rFonts w:ascii="Times New Roman" w:hAnsi="Times New Roman" w:cs="Times New Roman"/>
          <w:sz w:val="28"/>
          <w:szCs w:val="28"/>
        </w:rPr>
        <w:t xml:space="preserve"> отмечается, что перевод служащего в другой государственный орган в период с 1 января по 1(30)</w:t>
      </w:r>
      <w:r>
        <w:t> </w:t>
      </w:r>
      <w:r w:rsidRPr="004515F6">
        <w:rPr>
          <w:rFonts w:ascii="Times New Roman" w:hAnsi="Times New Roman" w:cs="Times New Roman"/>
          <w:sz w:val="28"/>
          <w:szCs w:val="28"/>
        </w:rPr>
        <w:t>апреля 2017 г. не освобождает его от обязанности представить сведения в соответствующее структурное подразделение  государственного органа, в котором он замещал должность 31 декабря 2016 г.</w:t>
      </w:r>
    </w:p>
    <w:p w:rsidR="004B3D71" w:rsidRDefault="004B3D71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 порядок представления сведений при внешнем и внутреннем совместительстве (пункт 16 Методических рекомендаций).</w:t>
      </w:r>
    </w:p>
    <w:p w:rsidR="004B3D71" w:rsidRDefault="004B3D71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Пунктом 34 Методических рекомендаций отмечено, что при </w:t>
      </w:r>
      <w:r w:rsidRPr="00C818EA">
        <w:rPr>
          <w:rFonts w:ascii="Times New Roman" w:hAnsi="Times New Roman" w:cs="Times New Roman"/>
          <w:sz w:val="28"/>
          <w:szCs w:val="28"/>
        </w:rPr>
        <w:t>отражении в соответствующих разделах справки информации об отсутствии тех или иных сведений могут быть использованы слова «нет», «не имеется» или прочерк.</w:t>
      </w:r>
    </w:p>
    <w:p w:rsidR="004B3D71" w:rsidRDefault="004B3D71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подпункта 1 пункта 35 Методических рекомендаций указан порядок представления сведений в отношении несовершеннолетного ребенка, не достигшего 14-летнего возраста, а в подпункте 3 – порядок представления сведений гражданином, не осуществляющим трудовую деятельность.</w:t>
      </w:r>
    </w:p>
    <w:p w:rsidR="004B3D71" w:rsidRDefault="004B3D71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39 Методических рекомендаций расширен особенностями заполнения раздела 1 справки лицами, зарегистрированными в качестве индивидуальных предпринимателей, а также лицами, замещающими муниципальные должности на непостоянной основе.</w:t>
      </w:r>
    </w:p>
    <w:p w:rsidR="004B3D71" w:rsidRDefault="004B3D71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53 Методических рекомендаций расширены виды доходов, которые могут быть указаны в строке 6 «Иные доходы» раздела 1 справки. Также дополнен перечень видов доходов, которые не подлежат указанию (пункт 55).</w:t>
      </w:r>
    </w:p>
    <w:p w:rsidR="004B3D71" w:rsidRDefault="004B3D71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Пунктами 57 и 61 Методических рекомендаций уточнены случаи, при которых раздел 2 «Сведения о расходах» справки не заполняется.</w:t>
      </w:r>
    </w:p>
    <w:p w:rsidR="004B3D71" w:rsidRDefault="004B3D71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76 Методических рекомендаций дополнен видами недвижимого имущества, которые не подлежат указанию в разделе 3 справки. </w:t>
      </w:r>
    </w:p>
    <w:p w:rsidR="004B3D71" w:rsidRDefault="004B3D71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89 Методических рекомендаций представлен пример отражения в графе «Основание приобретения и источники средств» раздела 3 справки правоустанавливающего документа в случае, если право на недвижимое имущество возникло до вступления в силу Федерального закона от 21 июля 1997 г. № 122-ФЗ «О государственной регистрации прав на недвижимое имущество и сделок с ним».</w:t>
      </w:r>
    </w:p>
    <w:p w:rsidR="004B3D71" w:rsidRDefault="004B3D71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97 Методических рекомендаций указан порядок заполнения подраздела 3.2 раздела 3 справки при наличии водного и воздушного транспорта. </w:t>
      </w:r>
    </w:p>
    <w:p w:rsidR="004B3D71" w:rsidRDefault="004B3D71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98 Методических рекомендаций отмечено, что прицепы, зарегистрированные в установленном порядке, также подлежат отражению в подразделе 3.2 раздела 3 справки.</w:t>
      </w:r>
    </w:p>
    <w:p w:rsidR="004B3D71" w:rsidRDefault="004B3D71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99 Методических рекомендаций посвящен отражению информации о счетах (вкладах) в иностранных банках, расположенных за пределами Российской Федерации, в разделе 4 справки (с рекомендацией приложить соответствующее заявление к справке). При этом в пункте 101 отмечено, что не подлежит указанию специальный избирательный счет.</w:t>
      </w:r>
    </w:p>
    <w:p w:rsidR="004B3D71" w:rsidRDefault="004B3D71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Абзацем вторым пункта 122 Методических рекомендаций обращено внимание на необходимость отражения информации об учредительстве организации в графе «Наименование и организационно-правовая форма организации» раздела 5 справки.</w:t>
      </w:r>
    </w:p>
    <w:p w:rsidR="004B3D71" w:rsidRDefault="004B3D71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пункта 123 Методических рекомендаций представлена ситуация заполнения графы «Уставный капитал» в случае, если законодательством не предусмотрено формирование такого капитала.</w:t>
      </w:r>
    </w:p>
    <w:p w:rsidR="004B3D71" w:rsidRDefault="004B3D71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129 Методических рекомендаций указывается, что в подразделе 6.1 раздела 6 справки необходимо отражать только те объекты недвижимого имущества, которые фактически находятся в пользовании.</w:t>
      </w:r>
    </w:p>
    <w:p w:rsidR="004B3D71" w:rsidRDefault="004B3D71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 перечень ситуаций, при которых объект недвижимого имущества указывается в подразделе 6.1 раздела 6 справки (пункт 131).</w:t>
      </w:r>
    </w:p>
    <w:p w:rsidR="004B3D71" w:rsidRDefault="004B3D71" w:rsidP="002473DF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пункте 144 Методических рекомендаций приведен пример ситуации, при которой финансовое обязательство не подлежит указанию в подразделе 6.2  раздела 6 справки.</w:t>
      </w:r>
    </w:p>
    <w:sectPr w:rsidR="004B3D71" w:rsidSect="003016D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D71" w:rsidRDefault="004B3D71" w:rsidP="003016D3">
      <w:r>
        <w:separator/>
      </w:r>
    </w:p>
  </w:endnote>
  <w:endnote w:type="continuationSeparator" w:id="0">
    <w:p w:rsidR="004B3D71" w:rsidRDefault="004B3D71" w:rsidP="00301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D71" w:rsidRDefault="004B3D71" w:rsidP="003016D3">
      <w:r>
        <w:separator/>
      </w:r>
    </w:p>
  </w:footnote>
  <w:footnote w:type="continuationSeparator" w:id="0">
    <w:p w:rsidR="004B3D71" w:rsidRDefault="004B3D71" w:rsidP="003016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D71" w:rsidRPr="003016D3" w:rsidRDefault="004B3D71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3016D3">
      <w:rPr>
        <w:rFonts w:ascii="Times New Roman" w:hAnsi="Times New Roman" w:cs="Times New Roman"/>
        <w:sz w:val="28"/>
        <w:szCs w:val="28"/>
      </w:rPr>
      <w:fldChar w:fldCharType="begin"/>
    </w:r>
    <w:r w:rsidRPr="003016D3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3016D3"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</w:rPr>
      <w:t>2</w:t>
    </w:r>
    <w:r w:rsidRPr="003016D3">
      <w:rPr>
        <w:rFonts w:ascii="Times New Roman" w:hAnsi="Times New Roman" w:cs="Times New Roman"/>
        <w:sz w:val="28"/>
        <w:szCs w:val="28"/>
      </w:rPr>
      <w:fldChar w:fldCharType="end"/>
    </w:r>
  </w:p>
  <w:p w:rsidR="004B3D71" w:rsidRPr="003016D3" w:rsidRDefault="004B3D71">
    <w:pPr>
      <w:pStyle w:val="Head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558"/>
    <w:multiLevelType w:val="hybridMultilevel"/>
    <w:tmpl w:val="ABAC8CCE"/>
    <w:lvl w:ilvl="0" w:tplc="DB668B90">
      <w:start w:val="1"/>
      <w:numFmt w:val="decimal"/>
      <w:lvlText w:val="%1."/>
      <w:lvlJc w:val="center"/>
      <w:pPr>
        <w:ind w:left="1997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>
      <w:start w:val="1"/>
      <w:numFmt w:val="lowerRoman"/>
      <w:lvlText w:val="%3."/>
      <w:lvlJc w:val="right"/>
      <w:pPr>
        <w:ind w:left="3578" w:hanging="180"/>
      </w:pPr>
    </w:lvl>
    <w:lvl w:ilvl="3" w:tplc="0419000F">
      <w:start w:val="1"/>
      <w:numFmt w:val="decimal"/>
      <w:lvlText w:val="%4."/>
      <w:lvlJc w:val="left"/>
      <w:pPr>
        <w:ind w:left="4298" w:hanging="360"/>
      </w:pPr>
    </w:lvl>
    <w:lvl w:ilvl="4" w:tplc="04190019">
      <w:start w:val="1"/>
      <w:numFmt w:val="lowerLetter"/>
      <w:lvlText w:val="%5."/>
      <w:lvlJc w:val="left"/>
      <w:pPr>
        <w:ind w:left="5018" w:hanging="360"/>
      </w:pPr>
    </w:lvl>
    <w:lvl w:ilvl="5" w:tplc="0419001B">
      <w:start w:val="1"/>
      <w:numFmt w:val="lowerRoman"/>
      <w:lvlText w:val="%6."/>
      <w:lvlJc w:val="right"/>
      <w:pPr>
        <w:ind w:left="5738" w:hanging="180"/>
      </w:pPr>
    </w:lvl>
    <w:lvl w:ilvl="6" w:tplc="0419000F">
      <w:start w:val="1"/>
      <w:numFmt w:val="decimal"/>
      <w:lvlText w:val="%7."/>
      <w:lvlJc w:val="left"/>
      <w:pPr>
        <w:ind w:left="6458" w:hanging="360"/>
      </w:pPr>
    </w:lvl>
    <w:lvl w:ilvl="7" w:tplc="04190019">
      <w:start w:val="1"/>
      <w:numFmt w:val="lowerLetter"/>
      <w:lvlText w:val="%8."/>
      <w:lvlJc w:val="left"/>
      <w:pPr>
        <w:ind w:left="7178" w:hanging="360"/>
      </w:pPr>
    </w:lvl>
    <w:lvl w:ilvl="8" w:tplc="0419001B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64A3"/>
    <w:rsid w:val="00065150"/>
    <w:rsid w:val="00066564"/>
    <w:rsid w:val="00084988"/>
    <w:rsid w:val="000F1463"/>
    <w:rsid w:val="001532B9"/>
    <w:rsid w:val="001B5B17"/>
    <w:rsid w:val="001F079C"/>
    <w:rsid w:val="002473DF"/>
    <w:rsid w:val="0029563E"/>
    <w:rsid w:val="002B47D6"/>
    <w:rsid w:val="002F316B"/>
    <w:rsid w:val="003016D3"/>
    <w:rsid w:val="0030180C"/>
    <w:rsid w:val="00313391"/>
    <w:rsid w:val="00313CA3"/>
    <w:rsid w:val="00387847"/>
    <w:rsid w:val="004515F6"/>
    <w:rsid w:val="00490142"/>
    <w:rsid w:val="004B3D71"/>
    <w:rsid w:val="00501047"/>
    <w:rsid w:val="005A2A76"/>
    <w:rsid w:val="005A47A1"/>
    <w:rsid w:val="005D40AA"/>
    <w:rsid w:val="00626F00"/>
    <w:rsid w:val="006A0A0F"/>
    <w:rsid w:val="006D732E"/>
    <w:rsid w:val="007A6907"/>
    <w:rsid w:val="007C7C20"/>
    <w:rsid w:val="00801268"/>
    <w:rsid w:val="009036F2"/>
    <w:rsid w:val="009A3AB1"/>
    <w:rsid w:val="009E39FD"/>
    <w:rsid w:val="00A17BB6"/>
    <w:rsid w:val="00A35ECC"/>
    <w:rsid w:val="00A95626"/>
    <w:rsid w:val="00AB1181"/>
    <w:rsid w:val="00B73422"/>
    <w:rsid w:val="00B764A3"/>
    <w:rsid w:val="00B821FD"/>
    <w:rsid w:val="00BA3DDC"/>
    <w:rsid w:val="00C11C3B"/>
    <w:rsid w:val="00C661EB"/>
    <w:rsid w:val="00C818EA"/>
    <w:rsid w:val="00CB16F1"/>
    <w:rsid w:val="00D544FA"/>
    <w:rsid w:val="00D7098F"/>
    <w:rsid w:val="00DD347D"/>
    <w:rsid w:val="00E05AFC"/>
    <w:rsid w:val="00E60C38"/>
    <w:rsid w:val="00E74DE4"/>
    <w:rsid w:val="00EA0BA4"/>
    <w:rsid w:val="00EF70A9"/>
    <w:rsid w:val="00F74A61"/>
    <w:rsid w:val="00FF2110"/>
    <w:rsid w:val="00FF5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4A3"/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515F6"/>
    <w:pPr>
      <w:ind w:left="720" w:firstLine="709"/>
      <w:jc w:val="both"/>
    </w:pPr>
  </w:style>
  <w:style w:type="paragraph" w:styleId="Header">
    <w:name w:val="header"/>
    <w:basedOn w:val="Normal"/>
    <w:link w:val="HeaderChar"/>
    <w:uiPriority w:val="99"/>
    <w:rsid w:val="003016D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016D3"/>
  </w:style>
  <w:style w:type="paragraph" w:styleId="Footer">
    <w:name w:val="footer"/>
    <w:basedOn w:val="Normal"/>
    <w:link w:val="FooterChar"/>
    <w:uiPriority w:val="99"/>
    <w:semiHidden/>
    <w:rsid w:val="003016D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016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710</Words>
  <Characters>4051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2017 году (за отчетный 2016 г</dc:title>
  <dc:subject/>
  <dc:creator>TuguchevNM</dc:creator>
  <cp:keywords/>
  <dc:description/>
  <cp:lastModifiedBy>SkoroLena</cp:lastModifiedBy>
  <cp:revision>2</cp:revision>
  <cp:lastPrinted>2017-01-30T11:56:00Z</cp:lastPrinted>
  <dcterms:created xsi:type="dcterms:W3CDTF">2017-01-30T11:57:00Z</dcterms:created>
  <dcterms:modified xsi:type="dcterms:W3CDTF">2017-01-30T11:57:00Z</dcterms:modified>
</cp:coreProperties>
</file>