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EF" w:rsidRDefault="002E0750" w:rsidP="00002547">
      <w:pPr>
        <w:pStyle w:val="2"/>
        <w:shd w:val="clear" w:color="auto" w:fill="FFFFFF"/>
        <w:spacing w:before="0" w:line="360" w:lineRule="auto"/>
        <w:ind w:firstLine="709"/>
        <w:jc w:val="center"/>
        <w:rPr>
          <w:rFonts w:ascii="Times New Roman" w:hAnsi="Times New Roman" w:cs="Times New Roman"/>
          <w:color w:val="auto"/>
          <w:sz w:val="28"/>
          <w:szCs w:val="24"/>
        </w:rPr>
      </w:pPr>
      <w:bookmarkStart w:id="0" w:name="_GoBack"/>
      <w:r w:rsidRPr="002E0750">
        <w:rPr>
          <w:rFonts w:ascii="Times New Roman" w:hAnsi="Times New Roman" w:cs="Times New Roman"/>
          <w:color w:val="auto"/>
          <w:sz w:val="28"/>
          <w:szCs w:val="24"/>
        </w:rPr>
        <w:t xml:space="preserve">Платежеспособность и подлинность денежных знаков банка </w:t>
      </w:r>
      <w:r>
        <w:rPr>
          <w:rFonts w:ascii="Times New Roman" w:hAnsi="Times New Roman" w:cs="Times New Roman"/>
          <w:color w:val="auto"/>
          <w:sz w:val="28"/>
          <w:szCs w:val="24"/>
        </w:rPr>
        <w:t>Р</w:t>
      </w:r>
      <w:r w:rsidRPr="002E0750">
        <w:rPr>
          <w:rFonts w:ascii="Times New Roman" w:hAnsi="Times New Roman" w:cs="Times New Roman"/>
          <w:color w:val="auto"/>
          <w:sz w:val="28"/>
          <w:szCs w:val="24"/>
        </w:rPr>
        <w:t>оссии</w:t>
      </w:r>
    </w:p>
    <w:bookmarkEnd w:id="0"/>
    <w:p w:rsidR="002E0750" w:rsidRPr="002E0750" w:rsidRDefault="002E0750" w:rsidP="002E0750"/>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На сегодня банкнотный и монетный ряд Банка России состоит из банкнот образца 1997 года (включая модификации 2001, 2004, 2010 гг.) номиналом 5, 10, 50, 100, 500, 1000, 5000 рублей; монеты образца 1997 года номиналом 1, 5, 10, 50 копеек и 1, 2, 5, 10, 25 рублей.</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rStyle w:val="a4"/>
          <w:sz w:val="28"/>
        </w:rPr>
        <w:t>Признаки платежеспособности</w:t>
      </w:r>
      <w:r w:rsidRPr="002E0750">
        <w:rPr>
          <w:rStyle w:val="apple-converted-space"/>
          <w:b/>
          <w:bCs/>
          <w:sz w:val="28"/>
        </w:rPr>
        <w:t> </w:t>
      </w:r>
      <w:r w:rsidRPr="002E0750">
        <w:rPr>
          <w:sz w:val="28"/>
        </w:rPr>
        <w:t xml:space="preserve">- классификация различного рода повреждений денежных знаков, позволяющая определить правомерность их замены на неповрежденные банкноты и монету, разработанная для борьбы с мошенническим использованием денежных знаков. В соответствии с признаками платежеспособности денежные знаки делятся </w:t>
      </w:r>
      <w:proofErr w:type="gramStart"/>
      <w:r w:rsidRPr="002E0750">
        <w:rPr>
          <w:sz w:val="28"/>
        </w:rPr>
        <w:t>на</w:t>
      </w:r>
      <w:proofErr w:type="gramEnd"/>
      <w:r w:rsidRPr="002E0750">
        <w:rPr>
          <w:sz w:val="28"/>
        </w:rPr>
        <w:t xml:space="preserve"> платежеспособные и неплатежеспособные.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При получении денежной наличности следует обращать внимание на то, в каком состоянии она находится. Платежеспособными, т.е. принимаемыми во все виды платежей, являются банкноты Банка России, не содержащие признаков подделки.</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Повреждения в виде потертостей, загрязнений, небольших проколов, посторонних надписей, утраченных углов и краев, надрывов, оттисков штампов, небольших красочных или масляных пятен не препятствуют их обмену </w:t>
      </w:r>
      <w:proofErr w:type="gramStart"/>
      <w:r w:rsidRPr="002E0750">
        <w:rPr>
          <w:sz w:val="28"/>
        </w:rPr>
        <w:t>на</w:t>
      </w:r>
      <w:proofErr w:type="gramEnd"/>
      <w:r w:rsidRPr="002E0750">
        <w:rPr>
          <w:sz w:val="28"/>
        </w:rPr>
        <w:t xml:space="preserve"> неповрежденные. Необходимо учесть, что банки не имеют права выдавать клиентам банкноты: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загрязнение поверхности лицевой и (или) оборотной сторон, снижающие яркость изображения на 8 и более процентов. Величина яркости определяется с помощью специального спектрометрического прибора»;</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один и более разрывов края банкноты, длина каждого из которых составляет 7 мм и более;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одно или несколько сквозных отверстий (проколов), диаметр каждого из которых составляет более 4 мм;</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lastRenderedPageBreak/>
        <w:t>-   утратившие один или несколько углов, площадь каждого из которых составляет 32 кв. мм и более;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утратившие край, вследствие чего размеры банкноты по длине и ширине</w:t>
      </w:r>
      <w:r w:rsidRPr="002E0750">
        <w:rPr>
          <w:sz w:val="28"/>
        </w:rPr>
        <w:br/>
        <w:t>уменьшились на 5 мм и более;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посторонние надписи, состоящие более чем из двух знаков (символов);</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один или несколько посторонних рисунков (оттисков штампов);</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одно и более контрастных пятен, диаметр каждого из которых составляет 5 мм и более;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частично утратившие красочный слой в результате потертости и (или) обесцвечивания;</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proofErr w:type="gramStart"/>
      <w:r w:rsidRPr="002E0750">
        <w:rPr>
          <w:sz w:val="28"/>
        </w:rPr>
        <w:t>-    имеющие одно и более нарушений целостнос</w:t>
      </w:r>
      <w:r w:rsidR="00002547" w:rsidRPr="002E0750">
        <w:rPr>
          <w:sz w:val="28"/>
        </w:rPr>
        <w:t xml:space="preserve">ти банкноты, заклеенных клеящей </w:t>
      </w:r>
      <w:r w:rsidRPr="002E0750">
        <w:rPr>
          <w:sz w:val="28"/>
        </w:rPr>
        <w:t>лентой.</w:t>
      </w:r>
      <w:proofErr w:type="gramEnd"/>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Монеты банка России полностью сохранившие изображения на обеих сторонах и имеющие повреждения в виде царапин, вмятин должны приниматься во все виды платежей и для зачисления на счета.</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Кроме того, платежеспособной является наличность, имеющая более значительные повреждения. Банкноты: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утратившие значительный фрагмент, но сохранившие не менее 55% от своей первоначальной площади (в </w:t>
      </w:r>
      <w:proofErr w:type="spellStart"/>
      <w:r w:rsidRPr="002E0750">
        <w:rPr>
          <w:sz w:val="28"/>
        </w:rPr>
        <w:t>т.ч</w:t>
      </w:r>
      <w:proofErr w:type="spellEnd"/>
      <w:r w:rsidRPr="002E0750">
        <w:rPr>
          <w:sz w:val="28"/>
        </w:rPr>
        <w:t>. обожженные);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склеенные из фрагментов, если один или несколько фрагментов, </w:t>
      </w:r>
      <w:proofErr w:type="gramStart"/>
      <w:r w:rsidRPr="002E0750">
        <w:rPr>
          <w:sz w:val="28"/>
        </w:rPr>
        <w:t>безусловно</w:t>
      </w:r>
      <w:proofErr w:type="gramEnd"/>
      <w:r w:rsidRPr="002E0750">
        <w:rPr>
          <w:sz w:val="28"/>
        </w:rPr>
        <w:t xml:space="preserve"> принадлежат одной банкноте, занимают не менее 55% от первоначальной площади;</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составленные из двух фрагментов, принадлежащих разным банкнотам одного и того же номинала, если каждый из фрагментов занимает не менее 50% от первоначальной площади банкноты;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защитная нить. В зависимости от года модификации на просвет может быть видна прозрачная полимерная полоса, содержащая текст, </w:t>
      </w:r>
      <w:r w:rsidRPr="002E0750">
        <w:rPr>
          <w:sz w:val="28"/>
        </w:rPr>
        <w:lastRenderedPageBreak/>
        <w:t xml:space="preserve">состоящий из букв «ЦБР» и числового обозначения номинала банкноты в прямом и перевернутом изображении. В бумагу модифицированных банкнот 2004 года введена ныряющая металлизированная защитная нить, которая выходит на оборотной стороне в виде блестящих прямоугольников, образующих пунктирную линию. При рассматривании на просвет защитная нить выглядит сплошной темной полосой. </w:t>
      </w:r>
      <w:proofErr w:type="gramStart"/>
      <w:r w:rsidRPr="002E0750">
        <w:rPr>
          <w:sz w:val="28"/>
        </w:rPr>
        <w:t>На банкнотах модификации 2010 года (500, 1000 рублей) на фрагменте защитной нити, выходящей на поверхность бумаги на лицевой стороне банкноты в окне фигурной формы, при наклоне банкноты видны либо повторяющиеся изображения чисел, разделенных ромбами, либо блеск изображения.</w:t>
      </w:r>
      <w:proofErr w:type="gramEnd"/>
      <w:r w:rsidRPr="002E0750">
        <w:rPr>
          <w:sz w:val="28"/>
        </w:rPr>
        <w:t xml:space="preserve"> С оборотной стороны банкноты в зоне защитной нити видны темные повторяющиеся числа, разделенные ромбами. При рассматривании на просвет числа и ромбы выглядят светлыми на темном фоне. На банкноте модификации 2010 года номиналом 5000 рублей на фрагменте защитной нити, выходящей на поверхность бумаги на лицевой стороне банкноты в окне фигурной формы, видны повторяющиеся изображения чисел «5000». При наклоне банкноты цифры перемещаются друг относительно друга;</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микроперфорация. На банкнотах Банка России модификации 2004, 2010 года номиналом 100, 500, 1000, 5000 рублей просматривается цифровое обозначение номинала, сформированное микроотверстиями. Бумага в месте расположения микроотверстий должна быть гладкой.</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В-третьих, необходимо приглядеться к микротексту, расположенному на оборотной стороне банкнот и состоящему из букв «ЦБР» и числовых номиналов банкнот, видимому только при помощи лупы;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В-четвертых, современная банкнота Банка России «любит», чтобы на нее смотрели под разными углами зрения, при этом на подлинной банкноте вам откроется следующее: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скрытое изображение - на лицевой стороне банкнот на орнаментальной ленте при горизонтальном расположении на уровне глаз под острым углом падающего света становятся видны буквы «РР»;</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lastRenderedPageBreak/>
        <w:t>- многоцветные радужные полосы - на лицевой стороне модифицированных банкнот 2004 года всех номиналов расположено однотонное поле. При рассматривании этого поля под острым углом на нем «появляются» радужные полосы. На банкнотах модификации 2010 года (1000, 5000 рублей) на однотонном поле в центре орнаментальной полосы при наклоне банкноты появляются радужные полосы, которые выглядят продолжением цветных полос, наблюдаемых постоянно на более темном участке в нижней части поля. На банкноте модификации 2010 года номиналом 500 рублей на однотонном поле при наклоне банкноты появляется число «500», каждая цифра которого имеет свою окраску. При повороте банкноты (без изменения угла зрения) окраска каждой цифры меняется.</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w:t>
      </w:r>
      <w:proofErr w:type="spellStart"/>
      <w:r w:rsidRPr="002E0750">
        <w:rPr>
          <w:sz w:val="28"/>
        </w:rPr>
        <w:t>цветопеременная</w:t>
      </w:r>
      <w:proofErr w:type="spellEnd"/>
      <w:r w:rsidRPr="002E0750">
        <w:rPr>
          <w:sz w:val="28"/>
        </w:rPr>
        <w:t xml:space="preserve"> краска - краска, которая меняет свой цвет при наклоне банкноты. На банкнотах номиналом 500, 1000 рублей - это эмблема Банка России, меняющая свой цвет </w:t>
      </w:r>
      <w:proofErr w:type="gramStart"/>
      <w:r w:rsidRPr="002E0750">
        <w:rPr>
          <w:sz w:val="28"/>
        </w:rPr>
        <w:t>с</w:t>
      </w:r>
      <w:proofErr w:type="gramEnd"/>
      <w:r w:rsidRPr="002E0750">
        <w:rPr>
          <w:sz w:val="28"/>
        </w:rPr>
        <w:t xml:space="preserve"> желто-зеленого на красно-коричневый. На банкноте Банка России номиналом 5000 рублей и на банкноте номиналом 1000 рублей модификации 2004 года </w:t>
      </w:r>
      <w:proofErr w:type="spellStart"/>
      <w:r w:rsidRPr="002E0750">
        <w:rPr>
          <w:sz w:val="28"/>
        </w:rPr>
        <w:t>цветопеременной</w:t>
      </w:r>
      <w:proofErr w:type="spellEnd"/>
      <w:r w:rsidRPr="002E0750">
        <w:rPr>
          <w:sz w:val="28"/>
        </w:rPr>
        <w:t xml:space="preserve"> краской выполнены герб города Ярославля и герб города Хабаровска, меняющие цвет </w:t>
      </w:r>
      <w:proofErr w:type="gramStart"/>
      <w:r w:rsidRPr="002E0750">
        <w:rPr>
          <w:sz w:val="28"/>
        </w:rPr>
        <w:t>с</w:t>
      </w:r>
      <w:proofErr w:type="gramEnd"/>
      <w:r w:rsidRPr="002E0750">
        <w:rPr>
          <w:sz w:val="28"/>
        </w:rPr>
        <w:t xml:space="preserve"> малинового на золотисто-зеленый. На банкнотах номиналом 1000 и 5000 рублей модификации 2010 года яркая блестящая горизонтальная полоса, видимая</w:t>
      </w:r>
      <w:r w:rsidRPr="002E0750">
        <w:rPr>
          <w:sz w:val="28"/>
        </w:rPr>
        <w:br/>
        <w:t>под прямым углом зрения в центре герба города Ярославля и города Хабаровска, при наклоне перемещается от середины изображения вверх или вниз.</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Для надежного определения подлинности банкнот необходимо проверить не менее трех защитных признаков. Не стесняйтесь проверять подлинность денег - это ваши деньги, поэтому не следует спешить при проверке.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lastRenderedPageBreak/>
        <w:t>Если Вы обнаружили у себя подделку, то ни в коем случае не пытайтесь вручить ее другому лицу. Подделка билетов Банка России преследуется по закону - это уголовно</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наказуемое действие. Обратитесь в ближайшее отделение полиции, вспомните и опишите приметы человека, от которого вы, вероятно, получили поддельный денежный знак. Так Вы избежите обвинений в свой адрес и исполните гражданский долг. В противном случае можете понести уголовную ответственность перед законом и будете привлечены к суду.</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Если какой-либо из имеющихся у Вас денежных знаков Банка России отличается по внешнему виду от других банкнот и монет соответствующего номинала, или Вы сомневаетесь в его подлинности, то его можно направить на экспертизу в кредитную организацию. Банки обязаны принимать валюту Российской Федерации на экспертизу без взимания платы.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proofErr w:type="gramStart"/>
      <w:r w:rsidRPr="002E0750">
        <w:rPr>
          <w:sz w:val="28"/>
        </w:rPr>
        <w:t>-     изменившие окраску, если на них просматривается изображение (за исключением банкнот, окрашенных веществами, предназначенными для предотвращения хищений при транспортировке банкнот);</w:t>
      </w:r>
      <w:proofErr w:type="gramEnd"/>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признаки производственного брака;</w:t>
      </w:r>
      <w:r w:rsidRPr="002E0750">
        <w:rPr>
          <w:sz w:val="28"/>
        </w:rPr>
        <w:br/>
        <w:t>Монеты: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w:t>
      </w:r>
      <w:proofErr w:type="gramStart"/>
      <w:r w:rsidRPr="002E0750">
        <w:rPr>
          <w:sz w:val="28"/>
        </w:rPr>
        <w:t>изменившие</w:t>
      </w:r>
      <w:proofErr w:type="gramEnd"/>
      <w:r w:rsidRPr="002E0750">
        <w:rPr>
          <w:sz w:val="28"/>
        </w:rPr>
        <w:t xml:space="preserve"> первоначальную форму, но полностью сохранившие изображение на аверсе и реверсе;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имеющие следы механического воздействия (в </w:t>
      </w:r>
      <w:proofErr w:type="spellStart"/>
      <w:r w:rsidRPr="002E0750">
        <w:rPr>
          <w:sz w:val="28"/>
        </w:rPr>
        <w:t>т.ч</w:t>
      </w:r>
      <w:proofErr w:type="spellEnd"/>
      <w:r w:rsidRPr="002E0750">
        <w:rPr>
          <w:sz w:val="28"/>
        </w:rPr>
        <w:t>. сквозные отверстия), если они не мешают однозначно определить номинал и тип монеты;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w:t>
      </w:r>
      <w:proofErr w:type="gramStart"/>
      <w:r w:rsidRPr="002E0750">
        <w:rPr>
          <w:sz w:val="28"/>
        </w:rPr>
        <w:t>изменившие</w:t>
      </w:r>
      <w:proofErr w:type="gramEnd"/>
      <w:r w:rsidRPr="002E0750">
        <w:rPr>
          <w:sz w:val="28"/>
        </w:rPr>
        <w:t xml:space="preserve"> первоначальный цвет;</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следы воздействия высокой температуры;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имеющие следы воздействия агрессивных сред;</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утратившие часть изображения, если она не мешает однозначно определить номинал и тип монеты.</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Денежные знаки, имеющие перечисленные повреждения, обмениваются только в банковских учреждениях, плата за обмен не берется. </w:t>
      </w:r>
      <w:r w:rsidRPr="002E0750">
        <w:rPr>
          <w:sz w:val="28"/>
        </w:rPr>
        <w:lastRenderedPageBreak/>
        <w:t>Торговые организации имеют право не принимать подобную наличность к оплате.</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proofErr w:type="gramStart"/>
      <w:r w:rsidRPr="002E0750">
        <w:rPr>
          <w:sz w:val="28"/>
        </w:rPr>
        <w:t>В том случае, если выдаваемая (предъявляемая) банкнота или монета по каким-либо причинам вызывает у Вас затруднения в определении признаков платежеспособности, немедленно требуйте ее замены на платежеспособную - это Ваше право.</w:t>
      </w:r>
      <w:proofErr w:type="gramEnd"/>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Если денежный знак является неплатежеспособным, т.е. имеет недопустимые повреждения, не принимается в платежи и не подлежит обмену, кассовый работник банка проставляет на банкноте штамп «В обмене отказано», наименование кредитной организации, дату, фамилию, инициалы, подпись и возвращает ее клиенту.</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В случае необходимости, поврежденные банкноты и монеты Банка России можно сдать в банк на экспертизу. Для оформления указанной операции следует написать заявление на прием сомнительных денежных знаков, заполнить опись и, при наличии, приложить копию документа, в котором подтверждается причина повреждений денежных знаков (справка о пожаре, стихийном бедствии, протокол ДТП и т.д.).</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rStyle w:val="a4"/>
          <w:sz w:val="28"/>
        </w:rPr>
        <w:t>Признаки подлинности</w:t>
      </w:r>
      <w:r w:rsidRPr="002E0750">
        <w:rPr>
          <w:rStyle w:val="apple-converted-space"/>
          <w:b/>
          <w:bCs/>
          <w:sz w:val="28"/>
        </w:rPr>
        <w:t> </w:t>
      </w:r>
      <w:r w:rsidRPr="002E0750">
        <w:rPr>
          <w:sz w:val="28"/>
        </w:rPr>
        <w:t>- комплекс специально разработанных защитных элементов, позволяющих удостовериться в подлинности денежного знака.</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При получении денежной наличности необходимо убедиться - подлинная ли у вас на руках банкнота.</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Во-первых, банкноту необходимо проверить на ощупь. На подлинной банкноте подушечками пальцев хорошо воспринимаются рельефные изображения текста «БИЛЕТ БАНКА РОССИИ» (надпись находится в верхней правой части лицевой стороны банкноты) и метка для людей с ослабленным зрением. На банкнотах модификации 2010 года (500, 1000, 5000 рублей) повышенным рельефом обладают тонкие штрихи по краям купонных полей.</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lastRenderedPageBreak/>
        <w:t>Кроме того, бумага, из которой сделана банкнота, специфична - это высококачественная плотная бумага, имеющая «гремящий» хруст, ее трудно спутать с какой-либо другой бумагой.</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Во-вторых, купюру следует рассмотреть на свет. На подлинной банкноте на просвет становятся </w:t>
      </w:r>
      <w:proofErr w:type="gramStart"/>
      <w:r w:rsidRPr="002E0750">
        <w:rPr>
          <w:sz w:val="28"/>
        </w:rPr>
        <w:t>видны</w:t>
      </w:r>
      <w:proofErr w:type="gramEnd"/>
      <w:r w:rsidRPr="002E0750">
        <w:rPr>
          <w:sz w:val="28"/>
        </w:rPr>
        <w:t>:</w:t>
      </w:r>
    </w:p>
    <w:p w:rsidR="003132EF" w:rsidRPr="002E0750" w:rsidRDefault="003132EF" w:rsidP="00002547">
      <w:pPr>
        <w:pStyle w:val="a3"/>
        <w:shd w:val="clear" w:color="auto" w:fill="FFFFFF"/>
        <w:spacing w:before="0" w:beforeAutospacing="0" w:after="0" w:afterAutospacing="0" w:line="360" w:lineRule="auto"/>
        <w:ind w:firstLine="709"/>
        <w:jc w:val="both"/>
        <w:rPr>
          <w:sz w:val="28"/>
        </w:rPr>
      </w:pPr>
      <w:r w:rsidRPr="002E0750">
        <w:rPr>
          <w:sz w:val="28"/>
        </w:rPr>
        <w:t xml:space="preserve">. водяные знаки, расположенные на белых «купонных» полях банкноты. На узком поле банкноты изображено цифровое обозначение номинала, на широком </w:t>
      </w:r>
      <w:proofErr w:type="gramStart"/>
      <w:r w:rsidRPr="002E0750">
        <w:rPr>
          <w:sz w:val="28"/>
        </w:rPr>
        <w:t>-ф</w:t>
      </w:r>
      <w:proofErr w:type="gramEnd"/>
      <w:r w:rsidRPr="002E0750">
        <w:rPr>
          <w:sz w:val="28"/>
        </w:rPr>
        <w:t>рагмент сюжета ее лицевой стороны. Водяной знак, расположенный на широком поле, имеет плавные переходы тона от светлых участков к темным. На банкнотах модификации 2010 года (500, 1000, 5000 рублей) на полутоновом водяном знаке рядом с портретом находится светлый водяной знак - число подтверждающее номинал банкноты, которое имеет участки более светлые, чем остальные фрагменты водяного знака.</w:t>
      </w:r>
    </w:p>
    <w:p w:rsidR="00AB5734" w:rsidRPr="002E0750" w:rsidRDefault="00AB5734" w:rsidP="003132EF">
      <w:pPr>
        <w:rPr>
          <w:sz w:val="24"/>
        </w:rPr>
      </w:pPr>
    </w:p>
    <w:sectPr w:rsidR="00AB5734" w:rsidRPr="002E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07"/>
    <w:rsid w:val="00002547"/>
    <w:rsid w:val="00002C57"/>
    <w:rsid w:val="00003A43"/>
    <w:rsid w:val="00006257"/>
    <w:rsid w:val="0002045A"/>
    <w:rsid w:val="000244D1"/>
    <w:rsid w:val="00034D50"/>
    <w:rsid w:val="00037015"/>
    <w:rsid w:val="00045A6E"/>
    <w:rsid w:val="00051003"/>
    <w:rsid w:val="00061FFE"/>
    <w:rsid w:val="00080D23"/>
    <w:rsid w:val="00092A81"/>
    <w:rsid w:val="00092EDA"/>
    <w:rsid w:val="000A173D"/>
    <w:rsid w:val="000D029A"/>
    <w:rsid w:val="000D1599"/>
    <w:rsid w:val="000E4E63"/>
    <w:rsid w:val="000F485E"/>
    <w:rsid w:val="00100CB7"/>
    <w:rsid w:val="00110162"/>
    <w:rsid w:val="00111931"/>
    <w:rsid w:val="00112F52"/>
    <w:rsid w:val="00117831"/>
    <w:rsid w:val="0013540C"/>
    <w:rsid w:val="00143C17"/>
    <w:rsid w:val="001614A7"/>
    <w:rsid w:val="0016518F"/>
    <w:rsid w:val="001653FD"/>
    <w:rsid w:val="0016556C"/>
    <w:rsid w:val="0017189E"/>
    <w:rsid w:val="001831E4"/>
    <w:rsid w:val="001A2538"/>
    <w:rsid w:val="001A7B0E"/>
    <w:rsid w:val="001B7A71"/>
    <w:rsid w:val="001C318F"/>
    <w:rsid w:val="001D6D80"/>
    <w:rsid w:val="001F6DE8"/>
    <w:rsid w:val="00200019"/>
    <w:rsid w:val="002060F3"/>
    <w:rsid w:val="002371D0"/>
    <w:rsid w:val="0026119D"/>
    <w:rsid w:val="00264000"/>
    <w:rsid w:val="002644E0"/>
    <w:rsid w:val="00283F07"/>
    <w:rsid w:val="00294982"/>
    <w:rsid w:val="00295D74"/>
    <w:rsid w:val="002A4CD1"/>
    <w:rsid w:val="002A52BD"/>
    <w:rsid w:val="002B15BA"/>
    <w:rsid w:val="002B3E1D"/>
    <w:rsid w:val="002B4256"/>
    <w:rsid w:val="002B5E82"/>
    <w:rsid w:val="002C1D72"/>
    <w:rsid w:val="002C2CEC"/>
    <w:rsid w:val="002C37AA"/>
    <w:rsid w:val="002D28DF"/>
    <w:rsid w:val="002D4854"/>
    <w:rsid w:val="002D5E0E"/>
    <w:rsid w:val="002E0750"/>
    <w:rsid w:val="002E62BF"/>
    <w:rsid w:val="002F4D82"/>
    <w:rsid w:val="00303E2C"/>
    <w:rsid w:val="003132EF"/>
    <w:rsid w:val="00322133"/>
    <w:rsid w:val="00325891"/>
    <w:rsid w:val="00327F04"/>
    <w:rsid w:val="00331397"/>
    <w:rsid w:val="00343733"/>
    <w:rsid w:val="00370530"/>
    <w:rsid w:val="00384022"/>
    <w:rsid w:val="00387DD2"/>
    <w:rsid w:val="00390D32"/>
    <w:rsid w:val="00390D4B"/>
    <w:rsid w:val="00391622"/>
    <w:rsid w:val="00392B3B"/>
    <w:rsid w:val="003B3027"/>
    <w:rsid w:val="003C1087"/>
    <w:rsid w:val="003C7056"/>
    <w:rsid w:val="003C762A"/>
    <w:rsid w:val="003E3B10"/>
    <w:rsid w:val="003F2D6F"/>
    <w:rsid w:val="00401891"/>
    <w:rsid w:val="00401E81"/>
    <w:rsid w:val="00402BCD"/>
    <w:rsid w:val="00420C67"/>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62222"/>
    <w:rsid w:val="005626DB"/>
    <w:rsid w:val="00570386"/>
    <w:rsid w:val="00571975"/>
    <w:rsid w:val="0057264C"/>
    <w:rsid w:val="00582B63"/>
    <w:rsid w:val="00596B08"/>
    <w:rsid w:val="005B382B"/>
    <w:rsid w:val="005B3843"/>
    <w:rsid w:val="005B62C9"/>
    <w:rsid w:val="005C3082"/>
    <w:rsid w:val="005C314F"/>
    <w:rsid w:val="005C70A3"/>
    <w:rsid w:val="005D3175"/>
    <w:rsid w:val="005E3246"/>
    <w:rsid w:val="005E3A9D"/>
    <w:rsid w:val="0060293E"/>
    <w:rsid w:val="006150A6"/>
    <w:rsid w:val="00617BD3"/>
    <w:rsid w:val="00625AB3"/>
    <w:rsid w:val="00631226"/>
    <w:rsid w:val="00645C1A"/>
    <w:rsid w:val="00646BF2"/>
    <w:rsid w:val="00646F23"/>
    <w:rsid w:val="00656CB9"/>
    <w:rsid w:val="00661FFF"/>
    <w:rsid w:val="006628C6"/>
    <w:rsid w:val="00676523"/>
    <w:rsid w:val="006A63DC"/>
    <w:rsid w:val="006B7526"/>
    <w:rsid w:val="006D5D31"/>
    <w:rsid w:val="006D6B0B"/>
    <w:rsid w:val="006E369A"/>
    <w:rsid w:val="006E5636"/>
    <w:rsid w:val="00700C42"/>
    <w:rsid w:val="00707476"/>
    <w:rsid w:val="00713867"/>
    <w:rsid w:val="00715157"/>
    <w:rsid w:val="00724E07"/>
    <w:rsid w:val="00730EF6"/>
    <w:rsid w:val="00734F5D"/>
    <w:rsid w:val="00736FE0"/>
    <w:rsid w:val="00740439"/>
    <w:rsid w:val="007429CE"/>
    <w:rsid w:val="00750EF9"/>
    <w:rsid w:val="007553ED"/>
    <w:rsid w:val="00760E10"/>
    <w:rsid w:val="00795707"/>
    <w:rsid w:val="007974F3"/>
    <w:rsid w:val="00797F3E"/>
    <w:rsid w:val="007C23D3"/>
    <w:rsid w:val="007C492C"/>
    <w:rsid w:val="007C562D"/>
    <w:rsid w:val="007C7D59"/>
    <w:rsid w:val="007D343B"/>
    <w:rsid w:val="007E44EA"/>
    <w:rsid w:val="007F05AB"/>
    <w:rsid w:val="007F7093"/>
    <w:rsid w:val="007F74AA"/>
    <w:rsid w:val="00802F01"/>
    <w:rsid w:val="0080595E"/>
    <w:rsid w:val="0081492B"/>
    <w:rsid w:val="0083023E"/>
    <w:rsid w:val="00840D46"/>
    <w:rsid w:val="008419FB"/>
    <w:rsid w:val="00853D8A"/>
    <w:rsid w:val="00854D9C"/>
    <w:rsid w:val="00866DEB"/>
    <w:rsid w:val="00870439"/>
    <w:rsid w:val="00881A35"/>
    <w:rsid w:val="00897FA3"/>
    <w:rsid w:val="008A05DA"/>
    <w:rsid w:val="008A797B"/>
    <w:rsid w:val="008B2A9E"/>
    <w:rsid w:val="008B4BF1"/>
    <w:rsid w:val="008B5DFA"/>
    <w:rsid w:val="008B7898"/>
    <w:rsid w:val="008C1D35"/>
    <w:rsid w:val="008C6101"/>
    <w:rsid w:val="008F2225"/>
    <w:rsid w:val="008F6CEB"/>
    <w:rsid w:val="008F6D0E"/>
    <w:rsid w:val="009017A3"/>
    <w:rsid w:val="0093381B"/>
    <w:rsid w:val="009354EB"/>
    <w:rsid w:val="0093611D"/>
    <w:rsid w:val="00943F89"/>
    <w:rsid w:val="009477E9"/>
    <w:rsid w:val="00954721"/>
    <w:rsid w:val="009573AD"/>
    <w:rsid w:val="00975CDC"/>
    <w:rsid w:val="00981723"/>
    <w:rsid w:val="00987C88"/>
    <w:rsid w:val="009B097E"/>
    <w:rsid w:val="009C1A23"/>
    <w:rsid w:val="00A00B2F"/>
    <w:rsid w:val="00A07B05"/>
    <w:rsid w:val="00A124F4"/>
    <w:rsid w:val="00A3352F"/>
    <w:rsid w:val="00A33A25"/>
    <w:rsid w:val="00A40C14"/>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D71EB"/>
    <w:rsid w:val="00AE16CB"/>
    <w:rsid w:val="00AE6BD1"/>
    <w:rsid w:val="00B05A28"/>
    <w:rsid w:val="00B11C44"/>
    <w:rsid w:val="00B20061"/>
    <w:rsid w:val="00B21C64"/>
    <w:rsid w:val="00B21FC9"/>
    <w:rsid w:val="00B24034"/>
    <w:rsid w:val="00B2681B"/>
    <w:rsid w:val="00B310AE"/>
    <w:rsid w:val="00B33488"/>
    <w:rsid w:val="00B34FE6"/>
    <w:rsid w:val="00B358A9"/>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F6C4E"/>
    <w:rsid w:val="00C06E5A"/>
    <w:rsid w:val="00C13005"/>
    <w:rsid w:val="00C13A22"/>
    <w:rsid w:val="00C25282"/>
    <w:rsid w:val="00C32941"/>
    <w:rsid w:val="00C4688E"/>
    <w:rsid w:val="00C57944"/>
    <w:rsid w:val="00C672F7"/>
    <w:rsid w:val="00C80E2F"/>
    <w:rsid w:val="00C949FD"/>
    <w:rsid w:val="00CA1787"/>
    <w:rsid w:val="00CB4097"/>
    <w:rsid w:val="00CB6DE9"/>
    <w:rsid w:val="00CC2952"/>
    <w:rsid w:val="00CC5C71"/>
    <w:rsid w:val="00CD4793"/>
    <w:rsid w:val="00D2655C"/>
    <w:rsid w:val="00D34D71"/>
    <w:rsid w:val="00D44821"/>
    <w:rsid w:val="00D525E8"/>
    <w:rsid w:val="00D60C2A"/>
    <w:rsid w:val="00D61ECA"/>
    <w:rsid w:val="00D70C3F"/>
    <w:rsid w:val="00D82086"/>
    <w:rsid w:val="00D873CA"/>
    <w:rsid w:val="00D902EB"/>
    <w:rsid w:val="00DB0509"/>
    <w:rsid w:val="00DB1AC7"/>
    <w:rsid w:val="00DB76A8"/>
    <w:rsid w:val="00DC4512"/>
    <w:rsid w:val="00DC69DA"/>
    <w:rsid w:val="00DD3864"/>
    <w:rsid w:val="00DD4983"/>
    <w:rsid w:val="00DF6BC6"/>
    <w:rsid w:val="00E006E3"/>
    <w:rsid w:val="00E07C81"/>
    <w:rsid w:val="00E10760"/>
    <w:rsid w:val="00E236F8"/>
    <w:rsid w:val="00E260B1"/>
    <w:rsid w:val="00E33F84"/>
    <w:rsid w:val="00E35C1F"/>
    <w:rsid w:val="00E465F7"/>
    <w:rsid w:val="00E5309E"/>
    <w:rsid w:val="00E63291"/>
    <w:rsid w:val="00E74C13"/>
    <w:rsid w:val="00E8304E"/>
    <w:rsid w:val="00E830F8"/>
    <w:rsid w:val="00E84CF3"/>
    <w:rsid w:val="00E96E4A"/>
    <w:rsid w:val="00EA0D66"/>
    <w:rsid w:val="00EA42BC"/>
    <w:rsid w:val="00EB4D74"/>
    <w:rsid w:val="00EC48B9"/>
    <w:rsid w:val="00ED6B69"/>
    <w:rsid w:val="00EF343B"/>
    <w:rsid w:val="00EF7F59"/>
    <w:rsid w:val="00F204ED"/>
    <w:rsid w:val="00F208B2"/>
    <w:rsid w:val="00F367B2"/>
    <w:rsid w:val="00F37442"/>
    <w:rsid w:val="00F4054A"/>
    <w:rsid w:val="00F6722A"/>
    <w:rsid w:val="00F67BC6"/>
    <w:rsid w:val="00F75600"/>
    <w:rsid w:val="00F83227"/>
    <w:rsid w:val="00F84452"/>
    <w:rsid w:val="00F845C2"/>
    <w:rsid w:val="00F84E30"/>
    <w:rsid w:val="00F867BD"/>
    <w:rsid w:val="00F86FAA"/>
    <w:rsid w:val="00F97643"/>
    <w:rsid w:val="00FC0838"/>
    <w:rsid w:val="00FC1F08"/>
    <w:rsid w:val="00FC4EAE"/>
    <w:rsid w:val="00FD1BB6"/>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F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3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F07"/>
    <w:rPr>
      <w:b/>
      <w:bCs/>
    </w:rPr>
  </w:style>
  <w:style w:type="character" w:customStyle="1" w:styleId="b-share">
    <w:name w:val="b-share"/>
    <w:basedOn w:val="a0"/>
    <w:rsid w:val="00283F07"/>
  </w:style>
  <w:style w:type="paragraph" w:styleId="a5">
    <w:name w:val="Balloon Text"/>
    <w:basedOn w:val="a"/>
    <w:link w:val="a6"/>
    <w:uiPriority w:val="99"/>
    <w:semiHidden/>
    <w:unhideWhenUsed/>
    <w:rsid w:val="00283F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F07"/>
    <w:rPr>
      <w:rFonts w:ascii="Tahoma" w:hAnsi="Tahoma" w:cs="Tahoma"/>
      <w:sz w:val="16"/>
      <w:szCs w:val="16"/>
    </w:rPr>
  </w:style>
  <w:style w:type="character" w:customStyle="1" w:styleId="20">
    <w:name w:val="Заголовок 2 Знак"/>
    <w:basedOn w:val="a0"/>
    <w:link w:val="2"/>
    <w:uiPriority w:val="9"/>
    <w:semiHidden/>
    <w:rsid w:val="006D6B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D6B0B"/>
  </w:style>
  <w:style w:type="character" w:styleId="a7">
    <w:name w:val="Emphasis"/>
    <w:basedOn w:val="a0"/>
    <w:uiPriority w:val="20"/>
    <w:qFormat/>
    <w:rsid w:val="006D6B0B"/>
    <w:rPr>
      <w:i/>
      <w:iCs/>
    </w:rPr>
  </w:style>
  <w:style w:type="character" w:customStyle="1" w:styleId="30">
    <w:name w:val="Заголовок 3 Знак"/>
    <w:basedOn w:val="a0"/>
    <w:link w:val="3"/>
    <w:uiPriority w:val="9"/>
    <w:semiHidden/>
    <w:rsid w:val="003132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3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F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3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F07"/>
    <w:rPr>
      <w:b/>
      <w:bCs/>
    </w:rPr>
  </w:style>
  <w:style w:type="character" w:customStyle="1" w:styleId="b-share">
    <w:name w:val="b-share"/>
    <w:basedOn w:val="a0"/>
    <w:rsid w:val="00283F07"/>
  </w:style>
  <w:style w:type="paragraph" w:styleId="a5">
    <w:name w:val="Balloon Text"/>
    <w:basedOn w:val="a"/>
    <w:link w:val="a6"/>
    <w:uiPriority w:val="99"/>
    <w:semiHidden/>
    <w:unhideWhenUsed/>
    <w:rsid w:val="00283F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F07"/>
    <w:rPr>
      <w:rFonts w:ascii="Tahoma" w:hAnsi="Tahoma" w:cs="Tahoma"/>
      <w:sz w:val="16"/>
      <w:szCs w:val="16"/>
    </w:rPr>
  </w:style>
  <w:style w:type="character" w:customStyle="1" w:styleId="20">
    <w:name w:val="Заголовок 2 Знак"/>
    <w:basedOn w:val="a0"/>
    <w:link w:val="2"/>
    <w:uiPriority w:val="9"/>
    <w:semiHidden/>
    <w:rsid w:val="006D6B0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D6B0B"/>
  </w:style>
  <w:style w:type="character" w:styleId="a7">
    <w:name w:val="Emphasis"/>
    <w:basedOn w:val="a0"/>
    <w:uiPriority w:val="20"/>
    <w:qFormat/>
    <w:rsid w:val="006D6B0B"/>
    <w:rPr>
      <w:i/>
      <w:iCs/>
    </w:rPr>
  </w:style>
  <w:style w:type="character" w:customStyle="1" w:styleId="30">
    <w:name w:val="Заголовок 3 Знак"/>
    <w:basedOn w:val="a0"/>
    <w:link w:val="3"/>
    <w:uiPriority w:val="9"/>
    <w:semiHidden/>
    <w:rsid w:val="003132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33">
      <w:bodyDiv w:val="1"/>
      <w:marLeft w:val="0"/>
      <w:marRight w:val="0"/>
      <w:marTop w:val="0"/>
      <w:marBottom w:val="0"/>
      <w:divBdr>
        <w:top w:val="none" w:sz="0" w:space="0" w:color="auto"/>
        <w:left w:val="none" w:sz="0" w:space="0" w:color="auto"/>
        <w:bottom w:val="none" w:sz="0" w:space="0" w:color="auto"/>
        <w:right w:val="none" w:sz="0" w:space="0" w:color="auto"/>
      </w:divBdr>
    </w:div>
    <w:div w:id="299238209">
      <w:bodyDiv w:val="1"/>
      <w:marLeft w:val="0"/>
      <w:marRight w:val="0"/>
      <w:marTop w:val="0"/>
      <w:marBottom w:val="0"/>
      <w:divBdr>
        <w:top w:val="none" w:sz="0" w:space="0" w:color="auto"/>
        <w:left w:val="none" w:sz="0" w:space="0" w:color="auto"/>
        <w:bottom w:val="none" w:sz="0" w:space="0" w:color="auto"/>
        <w:right w:val="none" w:sz="0" w:space="0" w:color="auto"/>
      </w:divBdr>
    </w:div>
    <w:div w:id="1301963821">
      <w:bodyDiv w:val="1"/>
      <w:marLeft w:val="0"/>
      <w:marRight w:val="0"/>
      <w:marTop w:val="0"/>
      <w:marBottom w:val="0"/>
      <w:divBdr>
        <w:top w:val="none" w:sz="0" w:space="0" w:color="auto"/>
        <w:left w:val="none" w:sz="0" w:space="0" w:color="auto"/>
        <w:bottom w:val="none" w:sz="0" w:space="0" w:color="auto"/>
        <w:right w:val="none" w:sz="0" w:space="0" w:color="auto"/>
      </w:divBdr>
    </w:div>
    <w:div w:id="1342590054">
      <w:bodyDiv w:val="1"/>
      <w:marLeft w:val="0"/>
      <w:marRight w:val="0"/>
      <w:marTop w:val="0"/>
      <w:marBottom w:val="0"/>
      <w:divBdr>
        <w:top w:val="none" w:sz="0" w:space="0" w:color="auto"/>
        <w:left w:val="none" w:sz="0" w:space="0" w:color="auto"/>
        <w:bottom w:val="none" w:sz="0" w:space="0" w:color="auto"/>
        <w:right w:val="none" w:sz="0" w:space="0" w:color="auto"/>
      </w:divBdr>
      <w:divsChild>
        <w:div w:id="1736707328">
          <w:marLeft w:val="0"/>
          <w:marRight w:val="0"/>
          <w:marTop w:val="0"/>
          <w:marBottom w:val="0"/>
          <w:divBdr>
            <w:top w:val="none" w:sz="0" w:space="0" w:color="auto"/>
            <w:left w:val="none" w:sz="0" w:space="0" w:color="auto"/>
            <w:bottom w:val="none" w:sz="0" w:space="0" w:color="auto"/>
            <w:right w:val="none" w:sz="0" w:space="0" w:color="auto"/>
          </w:divBdr>
          <w:divsChild>
            <w:div w:id="1875732080">
              <w:marLeft w:val="0"/>
              <w:marRight w:val="0"/>
              <w:marTop w:val="0"/>
              <w:marBottom w:val="120"/>
              <w:divBdr>
                <w:top w:val="none" w:sz="0" w:space="0" w:color="auto"/>
                <w:left w:val="none" w:sz="0" w:space="0" w:color="auto"/>
                <w:bottom w:val="none" w:sz="0" w:space="0" w:color="auto"/>
                <w:right w:val="none" w:sz="0" w:space="0" w:color="auto"/>
              </w:divBdr>
            </w:div>
            <w:div w:id="1423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2014-02-19T10:30:00Z</dcterms:created>
  <dcterms:modified xsi:type="dcterms:W3CDTF">2014-02-19T10:30:00Z</dcterms:modified>
</cp:coreProperties>
</file>