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F8" w:rsidRPr="00BE5AF8" w:rsidRDefault="00BE5AF8" w:rsidP="00BE5AF8">
      <w:pPr>
        <w:spacing w:after="0"/>
        <w:jc w:val="center"/>
        <w:rPr>
          <w:b/>
          <w:sz w:val="28"/>
          <w:szCs w:val="28"/>
        </w:rPr>
      </w:pPr>
      <w:bookmarkStart w:id="0" w:name="_GoBack"/>
      <w:bookmarkEnd w:id="0"/>
      <w:r w:rsidRPr="00BE5AF8">
        <w:rPr>
          <w:b/>
          <w:sz w:val="28"/>
          <w:szCs w:val="28"/>
        </w:rPr>
        <w:t>Памятка потребителю при приобретении изделий из драгоценных металлов.</w:t>
      </w:r>
    </w:p>
    <w:p w:rsidR="00BE5AF8" w:rsidRPr="00BE5AF8" w:rsidRDefault="00BE5AF8" w:rsidP="00BE5AF8">
      <w:pPr>
        <w:spacing w:after="0"/>
        <w:jc w:val="center"/>
        <w:rPr>
          <w:b/>
        </w:rPr>
      </w:pPr>
    </w:p>
    <w:p w:rsidR="00522A11" w:rsidRPr="00BE5AF8" w:rsidRDefault="00D31DE1" w:rsidP="00BE5AF8">
      <w:pPr>
        <w:spacing w:after="0"/>
      </w:pPr>
      <w:r w:rsidRPr="00BE5AF8">
        <w:t>Ювелирные изделия бесспорно являются прекрасным подарком на любой праздник и хорошим вложением денежных средств. Приобретая данные изделия</w:t>
      </w:r>
      <w:r w:rsidR="00DB1F33" w:rsidRPr="00BE5AF8">
        <w:t>,</w:t>
      </w:r>
      <w:r w:rsidRPr="00BE5AF8">
        <w:t xml:space="preserve"> следует быть внимательным и обратить </w:t>
      </w:r>
      <w:r w:rsidR="00DB1F33" w:rsidRPr="00BE5AF8">
        <w:t xml:space="preserve">внимание на ряд характеристик украшения. </w:t>
      </w:r>
    </w:p>
    <w:p w:rsidR="00522A11" w:rsidRPr="00BE5AF8" w:rsidRDefault="00DB1F33" w:rsidP="00BE5AF8">
      <w:pPr>
        <w:spacing w:after="0"/>
      </w:pPr>
      <w:r w:rsidRPr="00BE5AF8">
        <w:t xml:space="preserve">Основная информация о ювелирном изделии  указана в </w:t>
      </w:r>
      <w:r w:rsidR="00522A11" w:rsidRPr="00BE5AF8">
        <w:t xml:space="preserve"> бирке:</w:t>
      </w:r>
    </w:p>
    <w:p w:rsidR="00522A11" w:rsidRPr="00BE5AF8" w:rsidRDefault="00522A11" w:rsidP="00BE5AF8">
      <w:pPr>
        <w:spacing w:after="0"/>
      </w:pPr>
      <w:r w:rsidRPr="00BE5AF8">
        <w:t xml:space="preserve">наименование и юридический адрес предприятия-изготовителя </w:t>
      </w:r>
    </w:p>
    <w:p w:rsidR="00522A11" w:rsidRPr="00BE5AF8" w:rsidRDefault="00522A11" w:rsidP="00BE5AF8">
      <w:pPr>
        <w:spacing w:after="0"/>
      </w:pPr>
      <w:r w:rsidRPr="00BE5AF8">
        <w:t xml:space="preserve">наименование и артикул изделия </w:t>
      </w:r>
    </w:p>
    <w:p w:rsidR="00522A11" w:rsidRPr="00BE5AF8" w:rsidRDefault="00522A11" w:rsidP="00BE5AF8">
      <w:pPr>
        <w:spacing w:after="0"/>
      </w:pPr>
      <w:r w:rsidRPr="00BE5AF8">
        <w:t xml:space="preserve">наименование и проба драгоценного металла </w:t>
      </w:r>
    </w:p>
    <w:p w:rsidR="00522A11" w:rsidRPr="00BE5AF8" w:rsidRDefault="00522A11" w:rsidP="00BE5AF8">
      <w:pPr>
        <w:spacing w:after="0"/>
      </w:pPr>
      <w:r w:rsidRPr="00BE5AF8">
        <w:t xml:space="preserve">масса изделия в граммах, цена за грамм, общая стоимость изделия </w:t>
      </w:r>
    </w:p>
    <w:p w:rsidR="00522A11" w:rsidRPr="00BE5AF8" w:rsidRDefault="00522A11" w:rsidP="00BE5AF8">
      <w:pPr>
        <w:spacing w:after="0"/>
      </w:pPr>
      <w:r w:rsidRPr="00BE5AF8">
        <w:t xml:space="preserve">размер изделия </w:t>
      </w:r>
    </w:p>
    <w:p w:rsidR="00522A11" w:rsidRPr="00BE5AF8" w:rsidRDefault="00522A11" w:rsidP="00BE5AF8">
      <w:pPr>
        <w:spacing w:after="0"/>
      </w:pPr>
      <w:r w:rsidRPr="00BE5AF8">
        <w:t xml:space="preserve">наименование материала вставки и её подробная характеристика </w:t>
      </w:r>
    </w:p>
    <w:p w:rsidR="00522A11" w:rsidRPr="00BE5AF8" w:rsidRDefault="00522A11" w:rsidP="00BE5AF8">
      <w:pPr>
        <w:spacing w:after="0"/>
      </w:pPr>
      <w:r w:rsidRPr="00BE5AF8">
        <w:t xml:space="preserve">обозначение отраслевого стандарта (ОСТ 117-3-002-95) </w:t>
      </w:r>
    </w:p>
    <w:p w:rsidR="00522A11" w:rsidRPr="00BE5AF8" w:rsidRDefault="00522A11" w:rsidP="00BE5AF8">
      <w:pPr>
        <w:spacing w:after="0"/>
      </w:pPr>
      <w:r w:rsidRPr="00BE5AF8">
        <w:t>штамп ОТК</w:t>
      </w:r>
    </w:p>
    <w:p w:rsidR="00522A11" w:rsidRPr="00BE5AF8" w:rsidRDefault="00522A11" w:rsidP="00BE5AF8">
      <w:pPr>
        <w:spacing w:after="0"/>
      </w:pPr>
      <w:r w:rsidRPr="00BE5AF8">
        <w:t xml:space="preserve">Бирка на ювелирные изделия обязательно изготавливается из плотной бумаги и имеет отверстие для пропуска нити. Бирка обязательно прикрепляется ниткой, концы скрепляются металлической пломбой с соответствующим оттиском предприятия-изготовителя. </w:t>
      </w:r>
    </w:p>
    <w:p w:rsidR="00B80D25" w:rsidRPr="00BE5AF8" w:rsidRDefault="00B80D25" w:rsidP="00BE5AF8">
      <w:pPr>
        <w:spacing w:after="0"/>
      </w:pPr>
      <w:r w:rsidRPr="00BE5AF8">
        <w:t xml:space="preserve">Швы в изделиях должны быть плотными, ровными и не иметь прожогов </w:t>
      </w:r>
    </w:p>
    <w:p w:rsidR="00B80D25" w:rsidRPr="00BE5AF8" w:rsidRDefault="00B80D25" w:rsidP="00BE5AF8">
      <w:pPr>
        <w:spacing w:after="0"/>
      </w:pPr>
      <w:r w:rsidRPr="00BE5AF8">
        <w:t xml:space="preserve">Вставки должны быть закреплены в изделиях неподвижно, если иное не предусмотрено художественным замыслом </w:t>
      </w:r>
    </w:p>
    <w:p w:rsidR="00B80D25" w:rsidRPr="00BE5AF8" w:rsidRDefault="00B80D25" w:rsidP="00BE5AF8">
      <w:pPr>
        <w:spacing w:after="0"/>
      </w:pPr>
      <w:r w:rsidRPr="00BE5AF8">
        <w:t>Замки в изделиях должны исключать самопроизвольное их открывание и быть удобным в использовании</w:t>
      </w:r>
    </w:p>
    <w:p w:rsidR="00B80D25" w:rsidRPr="00BE5AF8" w:rsidRDefault="00B80D25" w:rsidP="00BE5AF8">
      <w:pPr>
        <w:spacing w:after="0"/>
      </w:pPr>
      <w:r w:rsidRPr="00BE5AF8">
        <w:t xml:space="preserve">На изделии из драгоценного металла обязательно должно присутствовать клеймо. </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 </w:t>
      </w:r>
      <w:r w:rsidR="00B80D25" w:rsidRPr="00BE5AF8">
        <w:rPr>
          <w:rFonts w:ascii="Times New Roman" w:hAnsi="Times New Roman" w:cs="Times New Roman"/>
          <w:sz w:val="24"/>
          <w:szCs w:val="24"/>
        </w:rPr>
        <w:t>В соответствии с Федеральным Законом «О драгоценных  металлах  и  драгоценных  камнях» от  26 марта</w:t>
      </w:r>
      <w:r w:rsidRPr="00BE5AF8">
        <w:rPr>
          <w:rFonts w:ascii="Times New Roman" w:hAnsi="Times New Roman" w:cs="Times New Roman"/>
          <w:sz w:val="24"/>
          <w:szCs w:val="24"/>
        </w:rPr>
        <w:t xml:space="preserve"> 1998 Г. N 41-ФЗ </w:t>
      </w:r>
      <w:r w:rsidR="00B80D25" w:rsidRPr="00BE5AF8">
        <w:rPr>
          <w:rFonts w:ascii="Times New Roman" w:hAnsi="Times New Roman" w:cs="Times New Roman"/>
          <w:sz w:val="24"/>
          <w:szCs w:val="24"/>
        </w:rPr>
        <w:t>к</w:t>
      </w:r>
      <w:r w:rsidRPr="00BE5AF8">
        <w:rPr>
          <w:rFonts w:ascii="Times New Roman" w:hAnsi="Times New Roman" w:cs="Times New Roman"/>
          <w:sz w:val="24"/>
          <w:szCs w:val="24"/>
        </w:rPr>
        <w:t>леймению государственным пробирным клеймом подлежат изделия, изготовленные из драгметаллов и их сплавов с использованием различных видов художественной обработки, со вставками из драгоценных, полудрагоценных, поделочных и цветных камней, других материалов природного или искусственного происхождения или без них, применяемые в качестве различных украшений, предметов быта и культа и/или для декоративных целей, выполнения различных ритуалов и обрядов, а также изготовленные из драгметаллов памятные, юбилейные и другие знаки и медали, кроме памятных монет, прошедших эмиссию, и государственных наград, статут которых определен в соответствии с законодательством Российской Федерации.</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Как закреплено указанным Постановлением:</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опробование и клеймение ювелирных и других бытовых изделий из драгоценных металлов в Российской Федерации осуществляется Пробирной палатой;</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ювелирные и другие бытовые изделия из драгметаллов представляются на опробование и клеймение их изготовителем, а ввезенные на территорию Российской Федерации для продажи указанные изделия - организацией или индивидуальным предпринимателем, осу</w:t>
      </w:r>
      <w:r w:rsidR="00B80D25" w:rsidRPr="00BE5AF8">
        <w:rPr>
          <w:rFonts w:ascii="Times New Roman" w:hAnsi="Times New Roman" w:cs="Times New Roman"/>
          <w:sz w:val="24"/>
          <w:szCs w:val="24"/>
        </w:rPr>
        <w:t>ществляющими ввоз этих изделий</w:t>
      </w:r>
      <w:r w:rsidRPr="00BE5AF8">
        <w:rPr>
          <w:rFonts w:ascii="Times New Roman" w:hAnsi="Times New Roman" w:cs="Times New Roman"/>
          <w:sz w:val="24"/>
          <w:szCs w:val="24"/>
        </w:rPr>
        <w:t>;</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достоинство сплава, из которого изготовлены изделия, определяется пробой, показывающей количество массовых частей драгметалла в тысяче массовых частей сплава;</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правила клеймения, порядок проведения других связанных с этим работ, знаки государственных пробирных клейм, а также инструкции и методические указания по проведению опробования, отбора проб и анализо</w:t>
      </w:r>
      <w:r w:rsidR="00B80D25" w:rsidRPr="00BE5AF8">
        <w:rPr>
          <w:rFonts w:ascii="Times New Roman" w:hAnsi="Times New Roman" w:cs="Times New Roman"/>
          <w:sz w:val="24"/>
          <w:szCs w:val="24"/>
        </w:rPr>
        <w:t>в утверждаются Минфином России</w:t>
      </w:r>
      <w:r w:rsidRPr="00BE5AF8">
        <w:rPr>
          <w:rFonts w:ascii="Times New Roman" w:hAnsi="Times New Roman" w:cs="Times New Roman"/>
          <w:sz w:val="24"/>
          <w:szCs w:val="24"/>
        </w:rPr>
        <w:t>;</w:t>
      </w:r>
    </w:p>
    <w:p w:rsidR="00B80D25"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клеймение ювелирных и других бытовых изделий из драгметаллов иностранного производства, ввезенных на территорию Российской Федерации, осуществляется только </w:t>
      </w:r>
      <w:r w:rsidRPr="00BE5AF8">
        <w:rPr>
          <w:rFonts w:ascii="Times New Roman" w:hAnsi="Times New Roman" w:cs="Times New Roman"/>
          <w:sz w:val="24"/>
          <w:szCs w:val="24"/>
        </w:rPr>
        <w:lastRenderedPageBreak/>
        <w:t xml:space="preserve">при предъявлении заключения российских таможенных органов об уплате всех таможенных платежей, выданного в соответствии с </w:t>
      </w:r>
      <w:r w:rsidR="00B80D25" w:rsidRPr="00BE5AF8">
        <w:rPr>
          <w:rFonts w:ascii="Times New Roman" w:hAnsi="Times New Roman" w:cs="Times New Roman"/>
          <w:sz w:val="24"/>
          <w:szCs w:val="24"/>
        </w:rPr>
        <w:t>нормативными актами ГТК России</w:t>
      </w:r>
      <w:r w:rsidRPr="00BE5AF8">
        <w:rPr>
          <w:rFonts w:ascii="Times New Roman" w:hAnsi="Times New Roman" w:cs="Times New Roman"/>
          <w:sz w:val="24"/>
          <w:szCs w:val="24"/>
        </w:rPr>
        <w:t>.</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В соответствии с </w:t>
      </w:r>
      <w:hyperlink r:id="rId5" w:history="1">
        <w:r w:rsidRPr="00B27D5A">
          <w:rPr>
            <w:rFonts w:ascii="Times New Roman" w:hAnsi="Times New Roman" w:cs="Times New Roman"/>
            <w:sz w:val="24"/>
            <w:szCs w:val="24"/>
          </w:rPr>
          <w:t>п. 8</w:t>
        </w:r>
      </w:hyperlink>
      <w:r w:rsidRPr="00BE5AF8">
        <w:rPr>
          <w:rFonts w:ascii="Times New Roman" w:hAnsi="Times New Roman" w:cs="Times New Roman"/>
          <w:sz w:val="24"/>
          <w:szCs w:val="24"/>
        </w:rPr>
        <w:t xml:space="preserve"> Постановления в Российской Федерации для ювелирных и других бытовых изделий из драгметаллов устанавливаются следующие пробы:</w:t>
      </w:r>
    </w:p>
    <w:p w:rsidR="00DB1F33" w:rsidRPr="00BE5AF8" w:rsidRDefault="00DB1F33" w:rsidP="00BE5AF8">
      <w:pPr>
        <w:pStyle w:val="ConsPlusNormal"/>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5103"/>
      </w:tblGrid>
      <w:tr w:rsidR="00DB1F33" w:rsidRPr="00BE5AF8" w:rsidTr="00BE5AF8">
        <w:trPr>
          <w:tblCellSpacing w:w="5" w:type="nil"/>
        </w:trPr>
        <w:tc>
          <w:tcPr>
            <w:tcW w:w="2410" w:type="dxa"/>
            <w:tcBorders>
              <w:top w:val="single" w:sz="8" w:space="0" w:color="auto"/>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платиновая </w:t>
            </w:r>
          </w:p>
        </w:tc>
        <w:tc>
          <w:tcPr>
            <w:tcW w:w="5103" w:type="dxa"/>
            <w:tcBorders>
              <w:top w:val="single" w:sz="8" w:space="0" w:color="auto"/>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950 (девятьсот пятидесятая)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платиновая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900 (девятисотая)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платиновая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850 (восемьсот пятидесятая)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999 (девятьсот девяносто девятая)</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958 (девятьсот пятьдесят восьмая)</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750 (семьсот пятидесятая)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585 (пятьсот восемьдесят пятая)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500 (пятисотая)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золотая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375 (триста семьдесят пятая)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999 (девятьсот девяносто девятая)</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960 (девятьсот шестидесятая)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925 (девятьсот двадцать пятая)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875 (восемьсот семьдесят пятая)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830 (восемьсот тридцатая)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серебряная </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800 (восьмисотая)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палладиевая</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850 (восемьсот пятидесятая)      </w:t>
            </w:r>
          </w:p>
        </w:tc>
      </w:tr>
      <w:tr w:rsidR="00DB1F33" w:rsidRPr="00BE5AF8" w:rsidTr="00BE5AF8">
        <w:trPr>
          <w:tblCellSpacing w:w="5" w:type="nil"/>
        </w:trPr>
        <w:tc>
          <w:tcPr>
            <w:tcW w:w="2410"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палладиевая</w:t>
            </w:r>
          </w:p>
        </w:tc>
        <w:tc>
          <w:tcPr>
            <w:tcW w:w="5103" w:type="dxa"/>
            <w:tcBorders>
              <w:left w:val="single" w:sz="8" w:space="0" w:color="auto"/>
              <w:bottom w:val="single" w:sz="8" w:space="0" w:color="auto"/>
              <w:right w:val="single" w:sz="8" w:space="0" w:color="auto"/>
            </w:tcBorders>
          </w:tcPr>
          <w:p w:rsidR="00DB1F33" w:rsidRPr="00BE5AF8" w:rsidRDefault="00DB1F33" w:rsidP="00BE5AF8">
            <w:pPr>
              <w:autoSpaceDE w:val="0"/>
              <w:autoSpaceDN w:val="0"/>
              <w:adjustRightInd w:val="0"/>
              <w:spacing w:after="0"/>
            </w:pPr>
            <w:r w:rsidRPr="00BE5AF8">
              <w:t xml:space="preserve">500 (пятисотая)                  </w:t>
            </w:r>
          </w:p>
        </w:tc>
      </w:tr>
    </w:tbl>
    <w:p w:rsidR="00DB1F33" w:rsidRPr="00BE5AF8" w:rsidRDefault="00DB1F33" w:rsidP="00BE5AF8">
      <w:pPr>
        <w:pStyle w:val="ConsPlusNormal"/>
        <w:ind w:firstLine="709"/>
        <w:jc w:val="both"/>
        <w:rPr>
          <w:rFonts w:ascii="Times New Roman" w:hAnsi="Times New Roman" w:cs="Times New Roman"/>
          <w:sz w:val="24"/>
          <w:szCs w:val="24"/>
        </w:rPr>
      </w:pP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В соответствии с Постановлением:</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допускается изготовление изделий из золота 583-й пробы по заказам граждан из принадлежащих им ювелирных и других бытовых изделий из золота этой пробы. На территории Российской Федерации имеют хождение и реализуются ювелирные и другие бытовые изделия из драгметаллов, изготовленные и клейменные ранее в соответствии с порядком, действовавшим до утверждения Постановления. При необходимости переклеймение изделий, прошедших клеймение до введения метрической системы мер, производится в соответствии с Постановлением;</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производство или продажа ювелирных и других бытовых изделий из драгметаллов, не соответствующих ни одной из установленных проб, не допускается. Ювелирные и другие бытовые изделия из драгметаллов, в том числе ввезенные в Российскую Федерацию для продажи, имеющие пробу ниже одной из установленных настоящим Постановлением для соответствующего драгметалла проб, должны быть заклеймены по ближайшей нижней установленной пробе. Изделия, имеющие пробу ниже установленной минимальной пробы, не подлежат клеймению и реализации как изделия из драгметаллов;</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припои, применяемые при пайке ювелирных и других бытовых изделий из драгметаллов, должны быть изготовлены на основе тех же драгметаллов, что и сплавы, из которых изготавливаются изделия. Припои для ювелирных и других бытовых изделий из золота и платины должны иметь ту же пробу, что и основной сплав. Припой для ювелирных и других бытовых изделий из серебра должен иметь пробу не ниже 650. Допускается использование специального припоя, не содержащего драгметаллов, для пайки цепочек, изготовляемых на автоматах, при условии обеспечения пробы указанных цепочек в пределах установленных проб;</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ювелирные и другие бытовые изделия из драгметаллов не должны содержать частей, изготовленных из недрагоценных металлов, за исключением: механизмов часов, зажигалок и подобных изделий, которые не могут быть изготовлены из драгметаллов по техническим причинам; лезвий ножей, винтовых частей штопоров и подобных частей </w:t>
      </w:r>
      <w:r w:rsidRPr="00BE5AF8">
        <w:rPr>
          <w:rFonts w:ascii="Times New Roman" w:hAnsi="Times New Roman" w:cs="Times New Roman"/>
          <w:sz w:val="24"/>
          <w:szCs w:val="24"/>
        </w:rPr>
        <w:lastRenderedPageBreak/>
        <w:t>изделий, которые не могут быть изготовлены из драгметаллов; пружин; осей шарниров; булавок брошей и подобных изделий;</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разрешается использование неметаллических частей (вставок, эмали, черни) в ювелирных и других бытовых изделиях из драгметаллов при условии, что по виду они четко отличаются от драгметаллов. Эти части не должны иметь покрытия или цвета, напоминающих драгметаллы. Допускается заполнение неметаллическими материалами ручек ножей, вилок и других столовых приборов в количествах, необходимых для их закрепления, в других случаях заполнение полостей в изделиях неметаллическими материалами не допускается;</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изготовители, расположенные на территории Российской Федерации, предъявляют ювелирные и другие бытовые изделия из драгметаллов для опробования и клеймения без частей из неметаллических материалов (вставок); со вставками указанные изделия предъявляютс</w:t>
      </w:r>
      <w:r w:rsidR="00B80D25" w:rsidRPr="00BE5AF8">
        <w:rPr>
          <w:rFonts w:ascii="Times New Roman" w:hAnsi="Times New Roman" w:cs="Times New Roman"/>
          <w:sz w:val="24"/>
          <w:szCs w:val="24"/>
        </w:rPr>
        <w:t>я ими в исключительных случаях</w:t>
      </w:r>
      <w:r w:rsidRPr="00BE5AF8">
        <w:rPr>
          <w:rFonts w:ascii="Times New Roman" w:hAnsi="Times New Roman" w:cs="Times New Roman"/>
          <w:sz w:val="24"/>
          <w:szCs w:val="24"/>
        </w:rPr>
        <w:t>;</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допускается покрывать слоем родия ювелирные и другие бытовые изделия из сплавов белого золота, серебра или платины при условии, что эти изделия клеймятся, как золотые, серебряные или платиновые соответственно. Допускается покрывать слоем золота ювелирные и другие бытовые изделия из серебра. Указанные изделия клеймятся, как серебряные.</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В соответствии с Постановлением, как определено в его </w:t>
      </w:r>
      <w:hyperlink r:id="rId6" w:history="1">
        <w:r w:rsidRPr="00B27D5A">
          <w:rPr>
            <w:rFonts w:ascii="Times New Roman" w:hAnsi="Times New Roman" w:cs="Times New Roman"/>
            <w:sz w:val="24"/>
            <w:szCs w:val="24"/>
          </w:rPr>
          <w:t>п. 16</w:t>
        </w:r>
      </w:hyperlink>
      <w:r w:rsidRPr="00BE5AF8">
        <w:rPr>
          <w:rFonts w:ascii="Times New Roman" w:hAnsi="Times New Roman" w:cs="Times New Roman"/>
          <w:sz w:val="24"/>
          <w:szCs w:val="24"/>
        </w:rPr>
        <w:t>, не подлежат клеймению следующие изделия:</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ювелирные и другие бытовые изделия из драгметаллов, имеющие историческое или археологическое значение;</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мелкие насечки (инкрустация) золотом и серебром на оружии, вазах, блюдах, шкатулках, предметах религиозного культа и подобных предметах;</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самородки драгметаллов - природные минеральные образования драгметаллов, используемые в качестве украшений (вставок, накладок, подвесок и т.п.) в ювелирных и других бытовых изделиях. Такие изделия должны быть обеспечены сертификатами на самородки драгметаллов, оформляемыми в порядке, установленном Правительством РФ;</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сусальное золото, сусальное серебро, состав сплавов которых устанавливается государственными стандартами;</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приборы, лабораторная посуда и прочие изделия, изготовляемые из драгметаллов и предназначенные для научных, производственных, медицинских и других специальных целей. Эти изделия должны быть снабжены маркой, этикеткой или штампом организации-изготовителя, на которых указываются символ металла и другие данные в соответствии со стандартами. Состав сплавов, из которых изготавливаются указанные изделия, регламентируется стандартами или техническими условиями.</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Согласно </w:t>
      </w:r>
      <w:hyperlink r:id="rId7" w:history="1">
        <w:r w:rsidRPr="00BE5AF8">
          <w:rPr>
            <w:rFonts w:ascii="Times New Roman" w:hAnsi="Times New Roman" w:cs="Times New Roman"/>
            <w:color w:val="0000FF"/>
            <w:sz w:val="24"/>
            <w:szCs w:val="24"/>
          </w:rPr>
          <w:t>п. 17</w:t>
        </w:r>
      </w:hyperlink>
      <w:r w:rsidRPr="00BE5AF8">
        <w:rPr>
          <w:rFonts w:ascii="Times New Roman" w:hAnsi="Times New Roman" w:cs="Times New Roman"/>
          <w:sz w:val="24"/>
          <w:szCs w:val="24"/>
        </w:rPr>
        <w:t xml:space="preserve"> Постановления организации и индивидуальные предприниматели, изготавливающие ювелирные и другие бытовые изделия из драгметаллов, обязаны иметь именники, знаки которых определяются в установленном Минфином России порядке, и ставить их оттиски на производимых ими изделиях.</w:t>
      </w:r>
    </w:p>
    <w:p w:rsidR="00DB1F33" w:rsidRPr="00BE5AF8" w:rsidRDefault="00DB1F33"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Оттиски именника на полированной металлической пластинке вместе с заявлением изготовителей ювелирных и других бытовых изделий из драгметаллов ежегодно представляются для регистрации в установленном Минфином России порядке. Использование незарегистрированных именников запрещается.</w:t>
      </w:r>
    </w:p>
    <w:p w:rsidR="00522A11" w:rsidRPr="00BE5AF8" w:rsidRDefault="00522A11"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Ювелирные изделия на</w:t>
      </w:r>
      <w:r w:rsidR="00C5030A" w:rsidRPr="00BE5AF8">
        <w:rPr>
          <w:rFonts w:ascii="Times New Roman" w:hAnsi="Times New Roman" w:cs="Times New Roman"/>
          <w:sz w:val="24"/>
          <w:szCs w:val="24"/>
        </w:rPr>
        <w:t xml:space="preserve">длежащего качества в соответствии с законом </w:t>
      </w:r>
      <w:r w:rsidRPr="00BE5AF8">
        <w:rPr>
          <w:rFonts w:ascii="Times New Roman" w:hAnsi="Times New Roman" w:cs="Times New Roman"/>
          <w:sz w:val="24"/>
          <w:szCs w:val="24"/>
        </w:rPr>
        <w:t xml:space="preserve"> возврату или обмену не подлежат. Однако подобного рода правила не распространяются на изделия с дефектом. </w:t>
      </w:r>
      <w:r w:rsidR="00C5030A" w:rsidRPr="00BE5AF8">
        <w:rPr>
          <w:rFonts w:ascii="Times New Roman" w:hAnsi="Times New Roman" w:cs="Times New Roman"/>
          <w:sz w:val="24"/>
          <w:szCs w:val="24"/>
        </w:rPr>
        <w:t>При обнаружении  недостатка</w:t>
      </w:r>
      <w:r w:rsidRPr="00BE5AF8">
        <w:rPr>
          <w:rFonts w:ascii="Times New Roman" w:hAnsi="Times New Roman" w:cs="Times New Roman"/>
          <w:sz w:val="24"/>
          <w:szCs w:val="24"/>
        </w:rPr>
        <w:t xml:space="preserve">, покупатель имеет полное право </w:t>
      </w:r>
      <w:r w:rsidR="00C5030A" w:rsidRPr="00BE5AF8">
        <w:rPr>
          <w:rFonts w:ascii="Times New Roman" w:hAnsi="Times New Roman" w:cs="Times New Roman"/>
          <w:sz w:val="24"/>
          <w:szCs w:val="24"/>
        </w:rPr>
        <w:t xml:space="preserve">предъявить к продавцу требования, изложенные в ст. 18 Закона РФ «О защите прав </w:t>
      </w:r>
      <w:r w:rsidR="009541F6" w:rsidRPr="00BE5AF8">
        <w:rPr>
          <w:rFonts w:ascii="Times New Roman" w:hAnsi="Times New Roman" w:cs="Times New Roman"/>
          <w:sz w:val="24"/>
          <w:szCs w:val="24"/>
        </w:rPr>
        <w:t>потребителей». К ним относятся:</w:t>
      </w:r>
    </w:p>
    <w:p w:rsidR="009541F6" w:rsidRPr="00BE5AF8" w:rsidRDefault="009541F6"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замена на товар этой же марки (этих же модели и (или) артикула);</w:t>
      </w:r>
    </w:p>
    <w:p w:rsidR="009541F6" w:rsidRPr="00BE5AF8" w:rsidRDefault="009541F6"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 замена на такой же товар другой марки (модели, артикула) с соответствующим перерасчетом покупной цены;</w:t>
      </w:r>
    </w:p>
    <w:p w:rsidR="009541F6" w:rsidRPr="00BE5AF8" w:rsidRDefault="009541F6"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соразмерное уменьшение покупной цены;</w:t>
      </w:r>
    </w:p>
    <w:p w:rsidR="009541F6" w:rsidRPr="00BE5AF8" w:rsidRDefault="009541F6"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незамедлительное безвозмездное устранения недостатков товара или возмещение расходов на их исправление потребителем или третьим лицом;</w:t>
      </w:r>
    </w:p>
    <w:p w:rsidR="009541F6" w:rsidRPr="00BE5AF8" w:rsidRDefault="009541F6"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отказ от исполнения дого</w:t>
      </w:r>
      <w:r w:rsidR="00BE5AF8" w:rsidRPr="00BE5AF8">
        <w:rPr>
          <w:rFonts w:ascii="Times New Roman" w:hAnsi="Times New Roman" w:cs="Times New Roman"/>
          <w:sz w:val="24"/>
          <w:szCs w:val="24"/>
        </w:rPr>
        <w:t>вора купли-продажи и  возврат</w:t>
      </w:r>
      <w:r w:rsidRPr="00BE5AF8">
        <w:rPr>
          <w:rFonts w:ascii="Times New Roman" w:hAnsi="Times New Roman" w:cs="Times New Roman"/>
          <w:sz w:val="24"/>
          <w:szCs w:val="24"/>
        </w:rPr>
        <w:t xml:space="preserve"> уплаченной за товар суммы. </w:t>
      </w:r>
    </w:p>
    <w:p w:rsidR="0093453F" w:rsidRPr="00BE5AF8" w:rsidRDefault="00BE5AF8" w:rsidP="00BE5AF8">
      <w:pPr>
        <w:pStyle w:val="ConsPlusNormal"/>
        <w:ind w:firstLine="709"/>
        <w:jc w:val="both"/>
        <w:rPr>
          <w:rFonts w:ascii="Times New Roman" w:hAnsi="Times New Roman" w:cs="Times New Roman"/>
          <w:sz w:val="24"/>
          <w:szCs w:val="24"/>
        </w:rPr>
      </w:pPr>
      <w:r w:rsidRPr="00BE5AF8">
        <w:rPr>
          <w:rFonts w:ascii="Times New Roman" w:hAnsi="Times New Roman" w:cs="Times New Roman"/>
          <w:sz w:val="24"/>
          <w:szCs w:val="24"/>
        </w:rPr>
        <w:t xml:space="preserve">Также необходимо </w:t>
      </w:r>
      <w:r w:rsidR="00522A11" w:rsidRPr="00BE5AF8">
        <w:rPr>
          <w:rFonts w:ascii="Times New Roman" w:hAnsi="Times New Roman" w:cs="Times New Roman"/>
          <w:sz w:val="24"/>
          <w:szCs w:val="24"/>
        </w:rPr>
        <w:t xml:space="preserve"> обратить внимание на гарантийный срок - срок, в течение которого покупатель может предъявлять свои права продавцу, если тот не докажет, что дефекты возникли после передачи товара покупателю. </w:t>
      </w:r>
      <w:r w:rsidRPr="00BE5AF8">
        <w:rPr>
          <w:rFonts w:ascii="Times New Roman" w:hAnsi="Times New Roman" w:cs="Times New Roman"/>
          <w:sz w:val="24"/>
          <w:szCs w:val="24"/>
        </w:rPr>
        <w:t xml:space="preserve">По истечению гарантийного срока покупатель может предъявлять требования указанные в ст. 18 Закона РФ «О защите прав потребителей» только в том случае, если докажет, что недостатки возникли до момента передачи указанного изделия ему продавцом. </w:t>
      </w:r>
    </w:p>
    <w:p w:rsidR="0093453F" w:rsidRDefault="0093453F" w:rsidP="00522A11">
      <w:pPr>
        <w:ind w:left="-850" w:hanging="284"/>
      </w:pPr>
    </w:p>
    <w:sectPr w:rsidR="0093453F"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5E"/>
    <w:rsid w:val="00032808"/>
    <w:rsid w:val="00041BD2"/>
    <w:rsid w:val="000718BB"/>
    <w:rsid w:val="00085BBA"/>
    <w:rsid w:val="00090D7B"/>
    <w:rsid w:val="000C02D6"/>
    <w:rsid w:val="000F163E"/>
    <w:rsid w:val="00313E2B"/>
    <w:rsid w:val="0032553C"/>
    <w:rsid w:val="00337781"/>
    <w:rsid w:val="003907E7"/>
    <w:rsid w:val="00415EFB"/>
    <w:rsid w:val="00445D6A"/>
    <w:rsid w:val="004C043A"/>
    <w:rsid w:val="004C1EC8"/>
    <w:rsid w:val="004F6E66"/>
    <w:rsid w:val="0051344B"/>
    <w:rsid w:val="0051715E"/>
    <w:rsid w:val="00522A11"/>
    <w:rsid w:val="00545449"/>
    <w:rsid w:val="005B247C"/>
    <w:rsid w:val="00641A1B"/>
    <w:rsid w:val="006A0758"/>
    <w:rsid w:val="006B7F89"/>
    <w:rsid w:val="006C52DD"/>
    <w:rsid w:val="006E7BA8"/>
    <w:rsid w:val="006F48D1"/>
    <w:rsid w:val="00776E47"/>
    <w:rsid w:val="007F0BF5"/>
    <w:rsid w:val="0086030A"/>
    <w:rsid w:val="008B162A"/>
    <w:rsid w:val="00903FC6"/>
    <w:rsid w:val="0093453F"/>
    <w:rsid w:val="009541F6"/>
    <w:rsid w:val="009952F6"/>
    <w:rsid w:val="00A40A44"/>
    <w:rsid w:val="00AB20C2"/>
    <w:rsid w:val="00AE1121"/>
    <w:rsid w:val="00B27D5A"/>
    <w:rsid w:val="00B31604"/>
    <w:rsid w:val="00B45BAD"/>
    <w:rsid w:val="00B651FD"/>
    <w:rsid w:val="00B80D25"/>
    <w:rsid w:val="00B849CD"/>
    <w:rsid w:val="00BE5AF8"/>
    <w:rsid w:val="00C31046"/>
    <w:rsid w:val="00C47F92"/>
    <w:rsid w:val="00C5030A"/>
    <w:rsid w:val="00C80301"/>
    <w:rsid w:val="00CB0EC0"/>
    <w:rsid w:val="00CE6093"/>
    <w:rsid w:val="00D24B57"/>
    <w:rsid w:val="00D31DE1"/>
    <w:rsid w:val="00D64C19"/>
    <w:rsid w:val="00DB1F33"/>
    <w:rsid w:val="00DC32F3"/>
    <w:rsid w:val="00DE1693"/>
    <w:rsid w:val="00E61379"/>
    <w:rsid w:val="00E655FD"/>
    <w:rsid w:val="00F126B1"/>
    <w:rsid w:val="00F128F9"/>
    <w:rsid w:val="00F2297D"/>
    <w:rsid w:val="00F27182"/>
    <w:rsid w:val="00F3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A11"/>
    <w:pPr>
      <w:autoSpaceDE w:val="0"/>
      <w:autoSpaceDN w:val="0"/>
      <w:adjustRightInd w:val="0"/>
      <w:spacing w:after="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A11"/>
    <w:pPr>
      <w:autoSpaceDE w:val="0"/>
      <w:autoSpaceDN w:val="0"/>
      <w:adjustRightInd w:val="0"/>
      <w:spacing w:after="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0DF4B1482CD82073FA27F9E51340219E5CB0EA210FD9FAC8C8AB5F18B9B74FCBDE10ABFF2250VDI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0DF4B1482CD82073FA27F9E51340219E5CB0EA210FD9FAC8C8AB5F18B9B74FCBDE10ABFF2251VDIFJ" TargetMode="External"/><Relationship Id="rId5" Type="http://schemas.openxmlformats.org/officeDocument/2006/relationships/hyperlink" Target="consultantplus://offline/ref=5D0DF4B1482CD82073FA27F9E51340219E5CB0EA210FD9FAC8C8AB5F18B9B74FCBDE10ABFF2254VDI4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2014-04-16T11:06:00Z</dcterms:created>
  <dcterms:modified xsi:type="dcterms:W3CDTF">2014-04-16T11:06:00Z</dcterms:modified>
</cp:coreProperties>
</file>